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FD" w:rsidRDefault="00A768FD" w:rsidP="00A768FD">
      <w:pPr>
        <w:adjustRightInd w:val="0"/>
        <w:snapToGrid w:val="0"/>
        <w:spacing w:before="200" w:line="288"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Detailed Rules of RBD Palm Olein Futures of Dalian Commodity Exchange </w:t>
      </w:r>
    </w:p>
    <w:p w:rsidR="00A768FD" w:rsidRDefault="00A768FD" w:rsidP="00A768FD">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  General Provisions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Detailed Rules of RBD Palm Olein Futures of Dalian Commodity Exchange (the "</w:t>
      </w:r>
      <w:r>
        <w:rPr>
          <w:rFonts w:ascii="Times New Roman" w:hAnsi="Times New Roman" w:cs="Times New Roman"/>
          <w:b/>
          <w:sz w:val="24"/>
          <w:szCs w:val="24"/>
        </w:rPr>
        <w:t>Detailed Rules</w:t>
      </w:r>
      <w:r>
        <w:rPr>
          <w:rFonts w:ascii="Times New Roman" w:hAnsi="Times New Roman" w:cs="Times New Roman"/>
          <w:sz w:val="24"/>
          <w:szCs w:val="24"/>
        </w:rPr>
        <w:t xml:space="preserve">") are formulated pursuant to the </w:t>
      </w:r>
      <w:r>
        <w:rPr>
          <w:rFonts w:ascii="Times New Roman" w:hAnsi="Times New Roman" w:cs="Times New Roman"/>
          <w:i/>
          <w:sz w:val="24"/>
          <w:szCs w:val="24"/>
        </w:rPr>
        <w:t>Trading Rules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RBD Palm Olein Futures Contract of Dalian Commodity Exchange</w:t>
      </w:r>
      <w:r>
        <w:rPr>
          <w:rFonts w:ascii="Times New Roman" w:hAnsi="Times New Roman" w:cs="Times New Roman"/>
          <w:sz w:val="24"/>
          <w:szCs w:val="24"/>
        </w:rPr>
        <w:t xml:space="preserve"> for the purpose of standardizing the trading of RBD palm olein futures contracts.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Dalian Commodity Exchange (the "</w:t>
      </w:r>
      <w:r>
        <w:rPr>
          <w:rFonts w:ascii="Times New Roman" w:hAnsi="Times New Roman" w:cs="Times New Roman"/>
          <w:b/>
          <w:sz w:val="24"/>
          <w:szCs w:val="24"/>
        </w:rPr>
        <w:t>Exchange</w:t>
      </w:r>
      <w:r>
        <w:rPr>
          <w:rFonts w:ascii="Times New Roman" w:hAnsi="Times New Roman" w:cs="Times New Roman"/>
          <w:sz w:val="24"/>
          <w:szCs w:val="24"/>
        </w:rPr>
        <w:t xml:space="preserve">"), its Members, the Overseas Special Participants, the </w:t>
      </w:r>
      <w:r>
        <w:rPr>
          <w:rFonts w:ascii="Times New Roman" w:hAnsi="Times New Roman" w:cs="Times New Roman"/>
          <w:bCs/>
          <w:sz w:val="24"/>
          <w:szCs w:val="24"/>
        </w:rPr>
        <w:t>Overseas Intermediaries</w:t>
      </w:r>
      <w:r>
        <w:rPr>
          <w:rFonts w:ascii="Times New Roman" w:hAnsi="Times New Roman" w:cs="Times New Roman"/>
          <w:sz w:val="24"/>
          <w:szCs w:val="24"/>
        </w:rPr>
        <w:t>, the clients, the designated delivery warehouses, the designated quality inspection agencies, the designated futures margin depository banks and other participants in the futures market shall comply with the Detailed Rules.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it is not provided in the Detailed Rules, the relevant rules of the Exchange shall apply.</w:t>
      </w:r>
    </w:p>
    <w:p w:rsidR="00A768FD" w:rsidRDefault="00A768FD" w:rsidP="00A768FD">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  Principle Terms of the Contract and Relevant Parameters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quality standards for the standard deliverable products under the RBD palm olein futures contract are detailed in the </w:t>
      </w:r>
      <w:r>
        <w:rPr>
          <w:rFonts w:ascii="Times New Roman" w:hAnsi="Times New Roman" w:cs="Times New Roman"/>
          <w:i/>
          <w:sz w:val="24"/>
          <w:szCs w:val="24"/>
        </w:rPr>
        <w:t>RBD Palm Olein Delivery Quality Standards of Dalian Commodity Exchange (F/DCE P002-2011)</w:t>
      </w:r>
      <w:r>
        <w:rPr>
          <w:rFonts w:ascii="Times New Roman" w:hAnsi="Times New Roman" w:cs="Times New Roman"/>
          <w:sz w:val="24"/>
          <w:szCs w:val="24"/>
        </w:rPr>
        <w:t xml:space="preserve"> as Annex 1 attached hereto.</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RBD palm olein futures contract shall take the form of physical delivery.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warehouses designated for RBD palm olein shall be divided into the benchmark delivery warehouses and the non-benchmark delivery warehouses (detailed in the</w:t>
      </w:r>
      <w:r>
        <w:rPr>
          <w:rFonts w:ascii="Times New Roman" w:hAnsi="Times New Roman" w:cs="Times New Roman"/>
          <w:i/>
          <w:sz w:val="24"/>
          <w:szCs w:val="24"/>
        </w:rPr>
        <w:t xml:space="preserve"> List of Delivery Warehouses Designated for RBD Palm Olein of Dalian Commodity Exchange</w:t>
      </w:r>
      <w:r>
        <w:rPr>
          <w:rFonts w:ascii="Times New Roman" w:hAnsi="Times New Roman" w:cs="Times New Roman"/>
          <w:sz w:val="24"/>
          <w:szCs w:val="24"/>
        </w:rPr>
        <w:t xml:space="preserve"> as Annex 2 attached hereto), and may be adjusted by the Exchange as the case may be.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contract months of the RBD palm olein futures contract are January, February, March, April, May, June, July, August, September, October, November and December.</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trading unit of the RBD palm olein futures contract is 10 MT/ Lot.</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price quote unit of the RBD palm olein futures contract is CNY/MT.</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minimum tick size of the RBD palm olein futures contract is 2 CNY/MT.</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lastRenderedPageBreak/>
        <w:t>The maximum quantity of orders placed each time for the RBD palm olein futures contract shall be one thousand (1,000) lots.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standard of trading margins, price limit range and position limit under the RBD palm olein futures contract shall be subject to the relevant provisions of the </w:t>
      </w:r>
      <w:r>
        <w:rPr>
          <w:rFonts w:ascii="Times New Roman" w:hAnsi="Times New Roman" w:cs="Times New Roman"/>
          <w:i/>
          <w:sz w:val="24"/>
          <w:szCs w:val="24"/>
        </w:rPr>
        <w:t>Measures for Risk Management of Dalian Commodity Exchange</w:t>
      </w:r>
      <w:r>
        <w:rPr>
          <w:rFonts w:ascii="Times New Roman" w:hAnsi="Times New Roman" w:cs="Times New Roman"/>
          <w:sz w:val="24"/>
          <w:szCs w:val="24"/>
        </w:rPr>
        <w:t xml:space="preserve">. </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trading day of the RBD palm olein futures contract is the tenth trading day of the contract month.</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last delivery day of the RBD palm olein futures contract is the third trading day after the last trading day.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ticker symbol of the RBD palm olein futures contract is P.</w:t>
      </w:r>
    </w:p>
    <w:p w:rsidR="00A768FD" w:rsidRDefault="00A768FD" w:rsidP="00A768FD">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III  Delivery and Clearing</w:t>
      </w:r>
    </w:p>
    <w:p w:rsidR="00A768FD" w:rsidRDefault="00A768FD" w:rsidP="00A768FD">
      <w:pPr>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Section I  General Provisions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RBD palm olein futures contract may apply the exchange of futures for physicals (the "</w:t>
      </w:r>
      <w:r>
        <w:rPr>
          <w:rFonts w:ascii="Times New Roman" w:hAnsi="Times New Roman" w:cs="Times New Roman"/>
          <w:b/>
          <w:sz w:val="24"/>
          <w:szCs w:val="24"/>
        </w:rPr>
        <w:t>EFP</w:t>
      </w:r>
      <w:r>
        <w:rPr>
          <w:rFonts w:ascii="Times New Roman" w:hAnsi="Times New Roman" w:cs="Times New Roman"/>
          <w:sz w:val="24"/>
          <w:szCs w:val="24"/>
        </w:rPr>
        <w:t xml:space="preserve">"), rolling delivery and one-off delivery, the detailed procedures of which are provided in the relevant provisions of the </w:t>
      </w:r>
      <w:r>
        <w:rPr>
          <w:rFonts w:ascii="Times New Roman" w:hAnsi="Times New Roman" w:cs="Times New Roman"/>
          <w:i/>
          <w:sz w:val="24"/>
          <w:szCs w:val="24"/>
        </w:rPr>
        <w:t>Measures for Delivery Management of Dalian Commodity Exchange</w:t>
      </w:r>
      <w:r>
        <w:rPr>
          <w:rFonts w:ascii="Times New Roman" w:hAnsi="Times New Roman" w:cs="Times New Roman"/>
          <w:sz w:val="24"/>
          <w:szCs w:val="24"/>
        </w:rPr>
        <w:t xml:space="preserve"> and the </w:t>
      </w:r>
      <w:r>
        <w:rPr>
          <w:rFonts w:ascii="Times New Roman" w:hAnsi="Times New Roman" w:cs="Times New Roman"/>
          <w:i/>
          <w:sz w:val="24"/>
          <w:szCs w:val="24"/>
        </w:rPr>
        <w:t>Measures for Clearing Management of Dalian Commodity Exchange</w:t>
      </w:r>
      <w:r>
        <w:rPr>
          <w:rFonts w:ascii="Times New Roman" w:hAnsi="Times New Roman" w:cs="Times New Roman"/>
          <w:sz w:val="24"/>
          <w:szCs w:val="24"/>
        </w:rPr>
        <w:t xml:space="preserve">. </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the </w:t>
      </w:r>
      <w:r>
        <w:rPr>
          <w:rFonts w:ascii="Times New Roman" w:hAnsi="Times New Roman" w:cs="Times New Roman"/>
          <w:sz w:val="24"/>
          <w:szCs w:val="24"/>
        </w:rPr>
        <w:t>parties</w:t>
      </w:r>
      <w:r>
        <w:rPr>
          <w:rFonts w:ascii="Times New Roman" w:hAnsi="Times New Roman" w:cs="Times New Roman"/>
          <w:color w:val="000000" w:themeColor="text1"/>
          <w:sz w:val="24"/>
          <w:szCs w:val="24"/>
        </w:rPr>
        <w:t xml:space="preserve"> to the trading file an EFP application of the standard warehouse receipts, they shall submit legal and valid qualification certificates for receiving or issuing VAT invoices in addition to the relevant EFP application materials under the</w:t>
      </w:r>
      <w:r>
        <w:rPr>
          <w:rFonts w:ascii="Times New Roman" w:hAnsi="Times New Roman" w:cs="Times New Roman"/>
          <w:i/>
          <w:iCs/>
          <w:color w:val="000000" w:themeColor="text1"/>
          <w:sz w:val="24"/>
          <w:szCs w:val="24"/>
        </w:rPr>
        <w:t xml:space="preserve"> Measures for Delivery Management of Dalian Commodity Exchange</w:t>
      </w:r>
      <w:r>
        <w:rPr>
          <w:rFonts w:ascii="Times New Roman" w:hAnsi="Times New Roman" w:cs="Times New Roman"/>
          <w:color w:val="000000" w:themeColor="text1"/>
          <w:sz w:val="24"/>
          <w:szCs w:val="24"/>
        </w:rPr>
        <w:t>.</w:t>
      </w:r>
    </w:p>
    <w:p w:rsidR="00A768FD" w:rsidRDefault="00A768FD" w:rsidP="00A768FD">
      <w:pPr>
        <w:adjustRightInd w:val="0"/>
        <w:snapToGrid w:val="0"/>
        <w:spacing w:before="200" w:line="288" w:lineRule="auto"/>
        <w:ind w:left="125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a client engages in the one-off delivery, it shall submit the legal and valid qualification certificate for receiving or issuing VAT invoices to the Exchange before 14:30 of the handover day through the Member.</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If it fails to submit within the specified time limit, it shall be deemed as not qualified for receiving or issuing VAT invoices and the relevant provisions of the </w:t>
      </w:r>
      <w:r>
        <w:rPr>
          <w:rFonts w:ascii="Times New Roman" w:hAnsi="Times New Roman" w:cs="Times New Roman"/>
          <w:i/>
          <w:iCs/>
          <w:color w:val="000000" w:themeColor="text1"/>
          <w:sz w:val="24"/>
          <w:szCs w:val="24"/>
        </w:rPr>
        <w:t xml:space="preserve">Measures for Delivery Management of Dalian Commodity Exchange </w:t>
      </w:r>
      <w:r>
        <w:rPr>
          <w:rFonts w:ascii="Times New Roman" w:hAnsi="Times New Roman" w:cs="Times New Roman"/>
          <w:color w:val="000000" w:themeColor="text1"/>
          <w:sz w:val="24"/>
          <w:szCs w:val="24"/>
        </w:rPr>
        <w:t>shall apply.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b/>
          <w:sz w:val="24"/>
          <w:szCs w:val="24"/>
        </w:rPr>
      </w:pPr>
      <w:r>
        <w:rPr>
          <w:rFonts w:ascii="Times New Roman" w:hAnsi="Times New Roman" w:cs="Times New Roman"/>
          <w:sz w:val="24"/>
          <w:szCs w:val="24"/>
        </w:rPr>
        <w:t>The standard warehouse receipt of the RBD palm olein shall be divided into the standard warehouse receipt of storage warehouse and the standard factory warehouse receipt.</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differences of quality discounts and/or premiums of the RBD palm olein futures contract shall be settled between the owner of the </w:t>
      </w:r>
      <w:r>
        <w:rPr>
          <w:rFonts w:ascii="Times New Roman" w:hAnsi="Times New Roman" w:cs="Times New Roman"/>
          <w:sz w:val="24"/>
          <w:szCs w:val="24"/>
        </w:rPr>
        <w:lastRenderedPageBreak/>
        <w:t>commodities and the designated delivery warehouse.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dedicated VAT invoice shall be issued for delivery of RBD palm olein.</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delivery commissions, the sampling and inspection fees, the storage and dissipation fees (including the warehousing fees, custody dissipation fees) and other fees of RBD Palm Olein shall be separately published by the Exchange.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During the course of the RBD palm olein futures trading, in case that war, social instability, natural disasters or other events are exerting, or are going to exert, significant impacts upon the imports of RBD palm olein, the Chief Executive Officer of the Exchange may take emergency measures such as adjusting the opening and closing time of the market, suspending or terminating trading. Upon settlement on the relevant day when the trading is terminated, the Exchange may liquidate positions of all or part of the RBD palm olein contract months based on the settlement price of the immediately preceding trading day.</w:t>
      </w:r>
    </w:p>
    <w:p w:rsidR="00A768FD" w:rsidRDefault="00A768FD" w:rsidP="00A768FD">
      <w:pPr>
        <w:pStyle w:val="a3"/>
        <w:adjustRightInd w:val="0"/>
        <w:snapToGrid w:val="0"/>
        <w:spacing w:before="200" w:line="288" w:lineRule="auto"/>
        <w:ind w:left="420" w:firstLineChars="0" w:firstLine="0"/>
        <w:jc w:val="center"/>
        <w:rPr>
          <w:rFonts w:ascii="Times New Roman" w:hAnsi="Times New Roman" w:cs="Times New Roman"/>
          <w:sz w:val="24"/>
          <w:szCs w:val="24"/>
        </w:rPr>
      </w:pPr>
      <w:r>
        <w:rPr>
          <w:rFonts w:ascii="Times New Roman" w:hAnsi="Times New Roman" w:cs="Times New Roman"/>
          <w:sz w:val="24"/>
          <w:szCs w:val="24"/>
        </w:rPr>
        <w:t>Section II  Standard Warehouse Receipt Delivery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 xml:space="preserve"> shall apply to the generation, circulation and deregistration of the standard warehouse receipts, if not provided in the Detailed Rules.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A Member shall pay the notice of intent to deliver earnest money to the Exchange as per the standard of CNY thirty (30) per ton when it handles the notice of intent to deliver.</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owner which has fully completed the notice of intent to deliver shall, before consignment, notify the designated delivery warehouse of the vehicle or vessel number, products, quantity, arrival time and other information, and the designated delivery warehouse shall reasonably arrange for receipt and loading-in of the commodities.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receiving and consigning weights of the RBD palm olein shall be subject to the weighting by the designated delivery warehouse through measurement of wagon balance for automobile transport, through measurement of train tank ruler-metering for train transport, or through measurement of oil storage tank ruler-metering for vessel transport.</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designated delivery warehouse shall inspect the RBD palm olein loaded in the warehouse subject to the applicable provisions of the Exchange. In case the inspection results are conforming, the designated </w:t>
      </w:r>
      <w:r>
        <w:rPr>
          <w:rFonts w:ascii="Times New Roman" w:hAnsi="Times New Roman" w:cs="Times New Roman"/>
          <w:sz w:val="24"/>
          <w:szCs w:val="24"/>
        </w:rPr>
        <w:lastRenderedPageBreak/>
        <w:t>delivery warehouse shall submit the relevant inspection report to the Exchange.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The </w:t>
      </w:r>
      <w:bookmarkStart w:id="0" w:name="OLE_LINK50"/>
      <w:bookmarkStart w:id="1" w:name="OLE_LINK49"/>
      <w:r>
        <w:rPr>
          <w:rFonts w:ascii="Times New Roman" w:hAnsi="Times New Roman" w:cs="Times New Roman"/>
          <w:sz w:val="24"/>
          <w:szCs w:val="24"/>
        </w:rPr>
        <w:t>designated delivery</w:t>
      </w:r>
      <w:bookmarkEnd w:id="0"/>
      <w:bookmarkEnd w:id="1"/>
      <w:r>
        <w:rPr>
          <w:rFonts w:ascii="Times New Roman" w:hAnsi="Times New Roman" w:cs="Times New Roman"/>
          <w:sz w:val="24"/>
          <w:szCs w:val="24"/>
        </w:rPr>
        <w:t xml:space="preserve"> warehouse shall take one (1) oil pool, one (1) oil tank or one (1) vehicle or train tank as an inspection unit, upon inspection the RBD palm olein loaded in the warehouse subject to the applicable provisions of the Exchange.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bookmarkStart w:id="2" w:name="OLE_LINK108"/>
      <w:bookmarkStart w:id="3" w:name="OLE_LINK109"/>
      <w:r>
        <w:rPr>
          <w:rFonts w:ascii="Times New Roman" w:hAnsi="Times New Roman" w:cs="Times New Roman"/>
          <w:sz w:val="24"/>
          <w:szCs w:val="24"/>
        </w:rPr>
        <w:t>The deregistration of standard warehouse receipts shall be carried out against the standard warehouse receipts of the RBD palm olein within three (3) trading days following the last delivery day.</w:t>
      </w:r>
      <w:bookmarkEnd w:id="2"/>
      <w:bookmarkEnd w:id="3"/>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When the RBD palm olein is loaded out of the storage warehouse, the owner which holds the Notice to Load Out or load-out password shall contact the designated delivery warehouse for the loading-out matters five (5) calendar days prior to the actual pickup date, and shall pick up the commodities at the designated delivery warehouse within ten (10) working days (inclusive of the tenth working day) after the deregistration of standard warehouse receipts.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If the owner has any objection on quality of the loaded-out commodities, it shall first negotiate with the warehouse to solve the problem. If the negotiation fails, the owner shall file a written application for re-inspection within ten (10) working days from the date of deregistration of the standard warehouse receipts, provided that the commodities have not been loaded out of the warehouse. The application for re-inspection shall specify the name of the warehouse, the number of the storage tank, </w:t>
      </w:r>
      <w:r>
        <w:rPr>
          <w:rFonts w:ascii="Times New Roman" w:hAnsi="Times New Roman" w:cs="Times New Roman" w:hint="eastAsia"/>
          <w:sz w:val="24"/>
          <w:szCs w:val="24"/>
        </w:rPr>
        <w:t>quantity, quality index</w:t>
      </w:r>
      <w:r>
        <w:rPr>
          <w:rFonts w:ascii="Times New Roman" w:hAnsi="Times New Roman" w:cs="Times New Roman"/>
          <w:sz w:val="24"/>
          <w:szCs w:val="24"/>
        </w:rPr>
        <w:t xml:space="preserve"> and other information of the commodities to be re-inspected, leave the contact information and be affixed with the official seal of the owner. The owner shall be deemed to have no objection over quality of the loaded-out commodities if it does not file application in the prescribed manner within the prescribed period. The re-inspection shall be carried out by the designated quality inspection agency entrusted by the Exchange, and such re-inspection result shall be the basis for settlement of the dispute. The re-inspection fees shall be </w:t>
      </w:r>
      <w:r>
        <w:rPr>
          <w:rFonts w:ascii="Times New Roman" w:hAnsi="Times New Roman" w:cs="Times New Roman" w:hint="eastAsia"/>
          <w:sz w:val="24"/>
          <w:szCs w:val="24"/>
        </w:rPr>
        <w:t>advanced</w:t>
      </w:r>
      <w:r>
        <w:rPr>
          <w:rFonts w:ascii="Times New Roman" w:hAnsi="Times New Roman" w:cs="Times New Roman"/>
          <w:sz w:val="24"/>
          <w:szCs w:val="24"/>
        </w:rPr>
        <w:t xml:space="preserve"> by the owner. If the re-inspection result is in conformity with the inspection result confirmed by the warehouse, the relevant fees (including but not limited to the inspection fees, traveling expenses) as well as any losses incurred thereby shall be borne by the owner; if not, relevant fees (including but not limited to the inspection fees, traveling expenses) as well as any losses incurred thereby shall be borne by the warehouse.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When the RBD palm olein is loaded out of the factory warehouse, the owner shall pick up the commodities at the factory warehouse within four </w:t>
      </w:r>
      <w:r>
        <w:rPr>
          <w:rFonts w:ascii="Times New Roman" w:hAnsi="Times New Roman" w:cs="Times New Roman"/>
          <w:sz w:val="24"/>
          <w:szCs w:val="24"/>
        </w:rPr>
        <w:lastRenderedPageBreak/>
        <w:t>(4) calendar days (inclusive of the fourth calendar day) following the deregistration day of standard warehouse receipts (exclusive of the deregistration day). The factory warehouse shall commence consignment within four (4) calendar days (inclusive of the fourth calendar day) following the deregistration day of standard warehouse receipts (exclusive of the deregistration day).</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When the RBD palm olein is loaded out of the factory warehouse, the factory warehouse shall carry out the sampling under the owner's supervision, and the samplings shall be sealed after being confirmed by both parties and shall be preserved for fifteen (15) calendar days following the consignment day.</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If the owner has any objection on quality of the loaded-out commodities, it shall firstly negotiate with the factory warehouse. If the negotiation fails, the owner shall file a written application for re-inspection to the Exchange within five (5) working days following the consignment date. The re-inspection of the reserved samples shall be carried out by the designated quality inspection agency entrusted by the Exchange, and the inspection result of the samples shall be the basis for settlement of the dispute. Where there is no provision herein, the relevant provisions of Article 31 hereof shall be applicable by reference.</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consigns commodities to the owner at a speed no higher than the daily consignment speed but the owner fails to pick up the commodities due to its transportation capability or any other reason attributable to the owner, the owner shall pay to the factory warehouse the late fee as per the quantity of the commodities which shall be, but fail to be, picked up. The late fee is determined as follows:</w:t>
      </w:r>
    </w:p>
    <w:p w:rsidR="00A768FD" w:rsidRDefault="00A768FD" w:rsidP="00A768FD">
      <w:pPr>
        <w:widowControl w:val="0"/>
        <w:numPr>
          <w:ilvl w:val="0"/>
          <w:numId w:val="2"/>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from the starting date of goods pick-up (inclusive of the pick-up day), for each day, the amount of late fee on the then-current day shall be figured out by multiplying the quantity of the goods which shall be picked up but fail to be picked up on the then-current day by the corresponding amount of late fee; and</w:t>
      </w:r>
    </w:p>
    <w:p w:rsidR="00A768FD" w:rsidRDefault="00A768FD" w:rsidP="00A768FD">
      <w:pPr>
        <w:widowControl w:val="0"/>
        <w:numPr>
          <w:ilvl w:val="0"/>
          <w:numId w:val="2"/>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to the completion date of goods pick-up (exclusive of the pick-up day), the total amount of late fee which the owner shall pay to the factory warehouse shall be figured out on the basis of totaling the daily amount of late fee.</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amount of late fee is CNY 2/Ton*Day.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If the pick-up is carried out after expiry of the pick-up period (exclusive of the then-current day) and within nineteen (19) calendar days  </w:t>
      </w:r>
      <w:r>
        <w:rPr>
          <w:rFonts w:ascii="Times New Roman" w:hAnsi="Times New Roman" w:cs="Times New Roman"/>
          <w:sz w:val="24"/>
          <w:szCs w:val="24"/>
        </w:rPr>
        <w:lastRenderedPageBreak/>
        <w:t>(exclusive of the then-current day) following the deregistration of the standard warehouse receipt (exclusive of the deregistration day), the owner shall pay the late fee to the factory warehouse, and the factory warehouse shall assume the liability related to the commodity quality, consignment time and consignment speed pursuant to the futures standards, until all the futures commodities have been consigned.</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The late fee shall be determined according to the following method: </w:t>
      </w:r>
    </w:p>
    <w:p w:rsidR="00A768FD" w:rsidRDefault="00A768FD" w:rsidP="00A768FD">
      <w:pPr>
        <w:widowControl w:val="0"/>
        <w:numPr>
          <w:ilvl w:val="0"/>
          <w:numId w:val="3"/>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from the date of expiration of pick-up period (inclusive of the expiration day), for each day, the amount of late fee on the then-current day shall be figured out by multiplying the quantity of the goods which shall be picked up but fail to be picked up on the then-current day by the corresponding amount of late fee; and</w:t>
      </w:r>
    </w:p>
    <w:p w:rsidR="00A768FD" w:rsidRDefault="00A768FD" w:rsidP="00A768FD">
      <w:pPr>
        <w:widowControl w:val="0"/>
        <w:numPr>
          <w:ilvl w:val="0"/>
          <w:numId w:val="3"/>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to the completion date of pick-up (exclusive of the pick-up day), the total amount of late fee which the owner shall pay to the factory warehouse shall be figured out on the basis of totaling the daily amount of late fee.</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The amount of late fee is CNY 2/Ton*Day.</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If the owner picks up the commodities at the factory warehouse after nineteen (19) calendar days (exclusive of the then-current day) following the date of deregistration of the standard warehouse receipt (exclusive of the deregistration day), the owner shall pay the late fee to the factory warehouse as calculated in the following formula, and the factory warehouse shall assume no liability related to the commodity quality, consignment time and consignment speed under the futures standards.</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late fee = CNY 2/Ton*Day × Quantity of all the commodities × 19 Days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Where the factory warehouse fails to consign commodities according to the required daily consignment speed but timely completes the consignment of all the commodities, the factory warehouse shall compensate the owner.</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compensation = Delivery settlement price of the last delivery month of such commodity × Quantity of the commodities which shall be, but fail to be, consigned according to the required daily consignment speed × 5%</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Where the factory warehouse fails to timely complete the consignment of all the commodities, the factory warehouse shall, in addition to the </w:t>
      </w:r>
      <w:r>
        <w:rPr>
          <w:rFonts w:ascii="Times New Roman" w:hAnsi="Times New Roman" w:cs="Times New Roman"/>
          <w:sz w:val="24"/>
          <w:szCs w:val="24"/>
        </w:rPr>
        <w:lastRenderedPageBreak/>
        <w:t>compensation provided in Article 36, compensate the owner as follows: amount of compensation= Delivery settlement price of the last delivery month of such commodity × Quantity of the commodities which shall be, but fail to be, consigned according to the total quantity of the commodities × 5%. In addition, the following procedures shall apply to such failure:</w:t>
      </w:r>
    </w:p>
    <w:p w:rsidR="00A768FD" w:rsidRDefault="00A768FD" w:rsidP="00A768FD">
      <w:pPr>
        <w:widowControl w:val="0"/>
        <w:numPr>
          <w:ilvl w:val="0"/>
          <w:numId w:val="4"/>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the Exchange shall supply to the owner the physical commodities of the same quality and quantity of other factory warehouses or locations and bear all the costs and expenses arising out of or in connection with the adjustment of the delivery site and the delayed consignment; or</w:t>
      </w:r>
    </w:p>
    <w:p w:rsidR="00A768FD" w:rsidRDefault="00A768FD" w:rsidP="00A768FD">
      <w:pPr>
        <w:widowControl w:val="0"/>
        <w:numPr>
          <w:ilvl w:val="0"/>
          <w:numId w:val="4"/>
        </w:numPr>
        <w:adjustRightInd w:val="0"/>
        <w:snapToGrid w:val="0"/>
        <w:spacing w:before="200" w:line="288" w:lineRule="auto"/>
        <w:ind w:left="1826" w:hanging="567"/>
        <w:rPr>
          <w:rFonts w:ascii="Times New Roman" w:hAnsi="Times New Roman" w:cs="Times New Roman"/>
          <w:sz w:val="24"/>
          <w:szCs w:val="24"/>
        </w:rPr>
      </w:pPr>
      <w:r>
        <w:rPr>
          <w:rFonts w:ascii="Times New Roman" w:hAnsi="Times New Roman" w:cs="Times New Roman"/>
          <w:sz w:val="24"/>
          <w:szCs w:val="24"/>
        </w:rPr>
        <w:t>where the Exchange fails to supply the above commodities, the Exchange shall refund to the owner the payment of the commodities and compensate the owner.</w:t>
      </w:r>
    </w:p>
    <w:p w:rsidR="00A768FD" w:rsidRDefault="00A768FD" w:rsidP="00A768FD">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Amount of refunded payment of commodities and compensation = Delivery settlement price of the last delivery month of such commodity × Quantity of the commodities which shall be, but fail to be, consigned according to the total quantity of the commodities × 120%</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In the event of any violation by the factory warehouse described in Article 36 or 37, the compensation shall firstly be paid to the owner by the factory warehouse. Where the factory warehouse fails to pay such compensation or the amount of compensation is insufficient, it shall be handled by the Exchange according to the relevant provisions of the </w:t>
      </w:r>
      <w:r>
        <w:rPr>
          <w:rFonts w:ascii="Times New Roman" w:hAnsi="Times New Roman" w:cs="Times New Roman"/>
          <w:i/>
          <w:sz w:val="24"/>
          <w:szCs w:val="24"/>
        </w:rPr>
        <w:t>Measures for Standard Warehouse Receipt Management of Dalian Commodity Exchange</w:t>
      </w:r>
      <w:r>
        <w:rPr>
          <w:rFonts w:ascii="Times New Roman" w:hAnsi="Times New Roman" w:cs="Times New Roman"/>
          <w:sz w:val="24"/>
          <w:szCs w:val="24"/>
        </w:rPr>
        <w:t>.</w:t>
      </w:r>
    </w:p>
    <w:p w:rsidR="00A768FD" w:rsidRDefault="00A768FD" w:rsidP="00A768FD">
      <w:pPr>
        <w:adjustRightInd w:val="0"/>
        <w:snapToGrid w:val="0"/>
        <w:spacing w:before="200" w:line="288" w:lineRule="auto"/>
        <w:jc w:val="center"/>
        <w:rPr>
          <w:rFonts w:ascii="Times New Roman" w:hAnsi="Times New Roman" w:cs="Times New Roman"/>
          <w:b/>
          <w:sz w:val="24"/>
          <w:szCs w:val="24"/>
        </w:rPr>
      </w:pPr>
      <w:r>
        <w:rPr>
          <w:rFonts w:ascii="Times New Roman" w:hAnsi="Times New Roman" w:cs="Times New Roman"/>
          <w:b/>
          <w:sz w:val="24"/>
          <w:szCs w:val="24"/>
        </w:rPr>
        <w:t>Chapter IV  Supplementary Provisions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 xml:space="preserve">Any violation of the Detailed Rules shall be handled by the Exchange subject to the applicable provisions of the </w:t>
      </w:r>
      <w:r>
        <w:rPr>
          <w:rFonts w:ascii="Times New Roman" w:hAnsi="Times New Roman" w:cs="Times New Roman"/>
          <w:i/>
          <w:sz w:val="24"/>
          <w:szCs w:val="24"/>
        </w:rPr>
        <w:t xml:space="preserve">Measures against Rule Violations of Dalian Commodity Exchange </w:t>
      </w:r>
      <w:r>
        <w:rPr>
          <w:rFonts w:ascii="Times New Roman" w:hAnsi="Times New Roman" w:cs="Times New Roman"/>
          <w:sz w:val="24"/>
          <w:szCs w:val="24"/>
        </w:rPr>
        <w:t>and other rules.</w:t>
      </w:r>
    </w:p>
    <w:p w:rsidR="00A768FD" w:rsidRDefault="00A768FD" w:rsidP="00A768FD">
      <w:pPr>
        <w:widowControl w:val="0"/>
        <w:numPr>
          <w:ilvl w:val="0"/>
          <w:numId w:val="1"/>
        </w:numPr>
        <w:adjustRightInd w:val="0"/>
        <w:snapToGrid w:val="0"/>
        <w:spacing w:before="200" w:line="288" w:lineRule="auto"/>
        <w:ind w:left="1259" w:hanging="1259"/>
        <w:rPr>
          <w:rFonts w:ascii="Times New Roman" w:hAnsi="Times New Roman" w:cs="Times New Roman"/>
          <w:sz w:val="24"/>
          <w:szCs w:val="24"/>
        </w:rPr>
      </w:pPr>
      <w:r>
        <w:rPr>
          <w:rFonts w:ascii="Times New Roman" w:hAnsi="Times New Roman" w:cs="Times New Roman"/>
          <w:sz w:val="24"/>
          <w:szCs w:val="24"/>
        </w:rPr>
        <w:t>The Exchange reserves the right to interpret the Detailed Rules.</w:t>
      </w:r>
    </w:p>
    <w:p w:rsidR="00A768FD" w:rsidRDefault="00A768FD" w:rsidP="00A768FD">
      <w:pPr>
        <w:widowControl w:val="0"/>
        <w:numPr>
          <w:ilvl w:val="0"/>
          <w:numId w:val="1"/>
        </w:numPr>
        <w:adjustRightInd w:val="0"/>
        <w:snapToGrid w:val="0"/>
        <w:spacing w:before="200" w:line="288" w:lineRule="auto"/>
        <w:rPr>
          <w:rFonts w:ascii="Times New Roman" w:hAnsi="Times New Roman" w:cs="Times New Roman"/>
          <w:b/>
          <w:sz w:val="24"/>
          <w:szCs w:val="24"/>
        </w:rPr>
      </w:pPr>
      <w:r>
        <w:rPr>
          <w:rFonts w:ascii="Times New Roman" w:hAnsi="Times New Roman" w:cs="Times New Roman"/>
          <w:sz w:val="24"/>
          <w:szCs w:val="24"/>
        </w:rPr>
        <w:t>The Detailed Rules shall come into force on July 1, 2019.</w:t>
      </w:r>
    </w:p>
    <w:p w:rsidR="00A768FD" w:rsidRDefault="00A768FD" w:rsidP="00A768FD">
      <w:pPr>
        <w:adjustRightInd w:val="0"/>
        <w:snapToGrid w:val="0"/>
        <w:spacing w:before="200" w:line="288" w:lineRule="auto"/>
        <w:rPr>
          <w:rFonts w:ascii="Times New Roman" w:hAnsi="Times New Roman" w:cs="Times New Roman"/>
          <w:b/>
          <w:sz w:val="24"/>
          <w:szCs w:val="24"/>
        </w:rPr>
      </w:pPr>
    </w:p>
    <w:p w:rsidR="00A768FD" w:rsidRDefault="00A768FD" w:rsidP="00A768FD">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Annex 1:  RBD Palm Olein Delivery Quality Standard of Dalian Commodity Exchange</w:t>
      </w:r>
      <w:r>
        <w:rPr>
          <w:rFonts w:ascii="Times New Roman" w:hAnsi="Times New Roman" w:cs="Times New Roman"/>
          <w:iCs/>
          <w:sz w:val="24"/>
          <w:szCs w:val="24"/>
        </w:rPr>
        <w:t xml:space="preserve"> (F</w:t>
      </w:r>
      <w:r w:rsidR="00B02930">
        <w:rPr>
          <w:rFonts w:ascii="Times New Roman" w:hAnsi="Times New Roman" w:cs="Times New Roman"/>
          <w:iCs/>
          <w:sz w:val="24"/>
          <w:szCs w:val="24"/>
        </w:rPr>
        <w:t>/</w:t>
      </w:r>
      <w:r>
        <w:rPr>
          <w:rFonts w:ascii="Times New Roman" w:hAnsi="Times New Roman" w:cs="Times New Roman"/>
          <w:iCs/>
          <w:sz w:val="24"/>
          <w:szCs w:val="24"/>
        </w:rPr>
        <w:t xml:space="preserve">DCE P002-2011) </w:t>
      </w:r>
    </w:p>
    <w:p w:rsidR="00A768FD" w:rsidRDefault="00A768FD" w:rsidP="00A768FD">
      <w:pPr>
        <w:adjustRightInd w:val="0"/>
        <w:snapToGrid w:val="0"/>
        <w:spacing w:before="200" w:line="288" w:lineRule="auto"/>
        <w:rPr>
          <w:rFonts w:ascii="Times New Roman" w:hAnsi="Times New Roman" w:cs="Times New Roman"/>
          <w:sz w:val="24"/>
          <w:szCs w:val="24"/>
        </w:rPr>
      </w:pPr>
      <w:r>
        <w:rPr>
          <w:rFonts w:ascii="Times New Roman" w:hAnsi="Times New Roman" w:cs="Times New Roman"/>
          <w:sz w:val="24"/>
          <w:szCs w:val="24"/>
        </w:rPr>
        <w:t xml:space="preserve">Annex 2:  List of Delivery Warehouses Designated for RBD Palm Olein of Dalian Commodity Exchange </w:t>
      </w:r>
    </w:p>
    <w:p w:rsidR="00FC71F1" w:rsidRDefault="00FC71F1" w:rsidP="00FC71F1">
      <w:pPr>
        <w:shd w:val="clear" w:color="auto" w:fill="FFFFFF"/>
        <w:adjustRightInd w:val="0"/>
        <w:snapToGrid w:val="0"/>
        <w:spacing w:before="200" w:line="288" w:lineRule="auto"/>
        <w:rPr>
          <w:rFonts w:ascii="Times New Roman" w:hAnsi="Times New Roman" w:cs="Times New Roman"/>
          <w:i/>
          <w:sz w:val="24"/>
          <w:szCs w:val="24"/>
        </w:rPr>
      </w:pPr>
      <w:r>
        <w:rPr>
          <w:rFonts w:ascii="Times New Roman" w:hAnsi="Times New Roman" w:cs="Times New Roman"/>
          <w:b/>
          <w:i/>
          <w:sz w:val="24"/>
          <w:szCs w:val="24"/>
        </w:rPr>
        <w:lastRenderedPageBreak/>
        <w:t>Disclaimer</w:t>
      </w:r>
      <w:r>
        <w:rPr>
          <w:rFonts w:ascii="Times New Roman" w:hAnsi="Times New Roman" w:cs="Times New Roman"/>
          <w:i/>
          <w:sz w:val="24"/>
          <w:szCs w:val="24"/>
        </w:rPr>
        <w:t>: This English translation may be used for reference only. In cases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p>
    <w:p w:rsidR="00FC71F1" w:rsidRDefault="00FC71F1">
      <w:pPr>
        <w:jc w:val="left"/>
        <w:rPr>
          <w:rFonts w:ascii="Times New Roman" w:hAnsi="Times New Roman" w:cs="Times New Roman"/>
          <w:sz w:val="24"/>
          <w:szCs w:val="24"/>
        </w:rPr>
      </w:pPr>
      <w:r>
        <w:rPr>
          <w:rFonts w:ascii="Times New Roman" w:hAnsi="Times New Roman" w:cs="Times New Roman"/>
          <w:sz w:val="24"/>
          <w:szCs w:val="24"/>
        </w:rPr>
        <w:br w:type="page"/>
      </w:r>
    </w:p>
    <w:p w:rsidR="00B02930" w:rsidRDefault="00B02930" w:rsidP="00B02930">
      <w:pPr>
        <w:pStyle w:val="1"/>
        <w:widowControl/>
        <w:shd w:val="clear" w:color="auto" w:fill="FFFFFF"/>
        <w:snapToGrid w:val="0"/>
        <w:spacing w:after="200" w:line="288" w:lineRule="auto"/>
        <w:ind w:firstLineChars="0" w:firstLine="0"/>
        <w:rPr>
          <w:rFonts w:ascii="Times New Roman" w:hAnsi="Times New Roman" w:cs="Arial"/>
          <w:b/>
          <w:bCs/>
          <w:color w:val="333333"/>
          <w:kern w:val="0"/>
          <w:sz w:val="24"/>
          <w:szCs w:val="24"/>
        </w:rPr>
      </w:pPr>
      <w:bookmarkStart w:id="4" w:name="_GoBack"/>
      <w:bookmarkEnd w:id="4"/>
      <w:r>
        <w:rPr>
          <w:rFonts w:ascii="Times New Roman" w:hAnsi="Times New Roman" w:cs="Arial"/>
          <w:b/>
          <w:bCs/>
          <w:color w:val="333333"/>
          <w:kern w:val="0"/>
          <w:sz w:val="24"/>
          <w:szCs w:val="24"/>
        </w:rPr>
        <w:lastRenderedPageBreak/>
        <w:t>Annex 1</w:t>
      </w:r>
    </w:p>
    <w:p w:rsidR="00B02930" w:rsidRDefault="00B02930" w:rsidP="00B02930">
      <w:pPr>
        <w:snapToGrid w:val="0"/>
        <w:spacing w:after="200" w:line="288" w:lineRule="auto"/>
        <w:jc w:val="center"/>
        <w:rPr>
          <w:rFonts w:ascii="Times New Roman" w:hAnsi="Times New Roman" w:cs="Times New Roman"/>
          <w:kern w:val="2"/>
          <w:sz w:val="24"/>
          <w:szCs w:val="24"/>
        </w:rPr>
      </w:pPr>
      <w:r>
        <w:rPr>
          <w:rFonts w:ascii="Times New Roman" w:hAnsi="Times New Roman" w:cs="Arial"/>
          <w:b/>
          <w:bCs/>
          <w:color w:val="333333"/>
          <w:sz w:val="24"/>
          <w:szCs w:val="24"/>
        </w:rPr>
        <w:t xml:space="preserve">RBD Palm Olein Delivery Quality Standard of Dalian Commodity Exchange ("DCE") </w:t>
      </w:r>
      <w:r>
        <w:rPr>
          <w:rFonts w:ascii="Times New Roman" w:hAnsi="Times New Roman" w:cs="Arial"/>
          <w:b/>
          <w:bCs/>
          <w:i/>
          <w:iCs/>
          <w:color w:val="333333"/>
          <w:sz w:val="24"/>
          <w:szCs w:val="24"/>
        </w:rPr>
        <w:t>(F/DCE P002-2011)</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color w:val="333333"/>
          <w:kern w:val="0"/>
          <w:sz w:val="24"/>
          <w:szCs w:val="24"/>
        </w:rPr>
      </w:pPr>
      <w:r>
        <w:rPr>
          <w:rFonts w:ascii="Times New Roman" w:hAnsi="Times New Roman" w:cs="Arial"/>
          <w:b/>
          <w:bCs/>
          <w:color w:val="333333"/>
          <w:kern w:val="0"/>
          <w:sz w:val="24"/>
          <w:szCs w:val="24"/>
        </w:rPr>
        <w:t>Main content and applicable scope</w:t>
      </w:r>
    </w:p>
    <w:p w:rsidR="00B02930" w:rsidRDefault="00B02930" w:rsidP="00B02930">
      <w:pPr>
        <w:pStyle w:val="1"/>
        <w:widowControl/>
        <w:shd w:val="clear" w:color="auto" w:fill="FFFFFF"/>
        <w:snapToGrid w:val="0"/>
        <w:spacing w:after="200" w:line="288" w:lineRule="auto"/>
        <w:ind w:left="567" w:firstLineChars="0" w:hanging="539"/>
        <w:rPr>
          <w:rFonts w:ascii="Times New Roman" w:hAnsi="Times New Roman" w:cs="Arial"/>
          <w:color w:val="333333"/>
          <w:kern w:val="0"/>
          <w:sz w:val="24"/>
          <w:szCs w:val="24"/>
        </w:rPr>
      </w:pPr>
      <w:r>
        <w:rPr>
          <w:rFonts w:ascii="Times New Roman" w:hAnsi="Times New Roman" w:cs="Arial"/>
          <w:color w:val="333333"/>
          <w:kern w:val="0"/>
          <w:sz w:val="24"/>
          <w:szCs w:val="24"/>
        </w:rPr>
        <w:t>The standard herein (the "</w:t>
      </w:r>
      <w:r>
        <w:rPr>
          <w:rFonts w:ascii="Times New Roman" w:hAnsi="Times New Roman" w:cs="Arial"/>
          <w:b/>
          <w:bCs/>
          <w:color w:val="333333"/>
          <w:kern w:val="0"/>
          <w:sz w:val="24"/>
          <w:szCs w:val="24"/>
        </w:rPr>
        <w:t>Standard</w:t>
      </w:r>
      <w:r>
        <w:rPr>
          <w:rFonts w:ascii="Times New Roman" w:hAnsi="Times New Roman" w:cs="Arial"/>
          <w:color w:val="333333"/>
          <w:kern w:val="0"/>
          <w:sz w:val="24"/>
          <w:szCs w:val="24"/>
        </w:rPr>
        <w:t>") stipulates the quality standards for RBD Palm Olein delivered at DCE.</w:t>
      </w:r>
    </w:p>
    <w:p w:rsidR="00B02930" w:rsidRDefault="00B02930" w:rsidP="00B02930">
      <w:pPr>
        <w:pStyle w:val="1"/>
        <w:widowControl/>
        <w:shd w:val="clear" w:color="auto" w:fill="FFFFFF"/>
        <w:snapToGrid w:val="0"/>
        <w:spacing w:after="200" w:line="288" w:lineRule="auto"/>
        <w:ind w:left="567" w:firstLineChars="0" w:hanging="539"/>
        <w:rPr>
          <w:rFonts w:ascii="Times New Roman" w:hAnsi="Times New Roman" w:cs="Arial"/>
          <w:color w:val="333333"/>
          <w:kern w:val="0"/>
          <w:sz w:val="24"/>
          <w:szCs w:val="24"/>
        </w:rPr>
      </w:pPr>
      <w:r>
        <w:rPr>
          <w:rFonts w:ascii="Times New Roman" w:hAnsi="Times New Roman" w:cs="Arial"/>
          <w:color w:val="333333"/>
          <w:kern w:val="0"/>
          <w:sz w:val="24"/>
          <w:szCs w:val="24"/>
        </w:rPr>
        <w:t>The Standard applies to standard products delivered under the RBD Palm Olein futures contract of DCE.</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b/>
          <w:bCs/>
          <w:color w:val="333333"/>
          <w:kern w:val="0"/>
          <w:sz w:val="24"/>
          <w:szCs w:val="24"/>
        </w:rPr>
      </w:pPr>
      <w:r>
        <w:rPr>
          <w:rFonts w:ascii="Times New Roman" w:hAnsi="Times New Roman" w:cs="Arial"/>
          <w:b/>
          <w:bCs/>
          <w:color w:val="333333"/>
          <w:kern w:val="0"/>
          <w:sz w:val="24"/>
          <w:szCs w:val="24"/>
        </w:rPr>
        <w:t>Cited rules and standards</w:t>
      </w:r>
    </w:p>
    <w:p w:rsidR="00B02930" w:rsidRDefault="00B02930" w:rsidP="00B02930">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The provisions of the following documents are incorporated as the provisions of the Standard by reference. For those cited documents noted with dates, all of their following amendments (excluding corrections) and revised versions shall not be applied to the Standard; for those without noted dates, their latest versions shall be applied to the Standard.</w:t>
      </w:r>
    </w:p>
    <w:p w:rsidR="00B02930" w:rsidRDefault="00B02930" w:rsidP="00B02930">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GB 15680-2009 RBD Palm Olein</w:t>
      </w:r>
    </w:p>
    <w:p w:rsidR="00B02930" w:rsidRDefault="00B02930" w:rsidP="00B02930">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GB 3102.3-93 Quantities and Units of Mechanics</w:t>
      </w:r>
    </w:p>
    <w:p w:rsidR="00B02930" w:rsidRDefault="00B02930" w:rsidP="00B02930">
      <w:pPr>
        <w:shd w:val="clear" w:color="auto" w:fill="FFFFFF"/>
        <w:snapToGrid w:val="0"/>
        <w:spacing w:after="200" w:line="288" w:lineRule="auto"/>
        <w:ind w:left="420"/>
        <w:rPr>
          <w:rFonts w:ascii="Times New Roman" w:hAnsi="Times New Roman" w:cs="Arial"/>
          <w:i/>
          <w:iCs/>
          <w:color w:val="333333"/>
          <w:sz w:val="24"/>
          <w:szCs w:val="24"/>
        </w:rPr>
      </w:pPr>
      <w:r>
        <w:rPr>
          <w:rFonts w:ascii="Times New Roman" w:hAnsi="Times New Roman" w:cs="Arial"/>
          <w:i/>
          <w:iCs/>
          <w:color w:val="333333"/>
          <w:sz w:val="24"/>
          <w:szCs w:val="24"/>
        </w:rPr>
        <w:t>Standard Terminologies for Chemical Industry</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color w:val="333333"/>
          <w:kern w:val="0"/>
          <w:sz w:val="24"/>
          <w:szCs w:val="24"/>
        </w:rPr>
      </w:pPr>
      <w:r>
        <w:rPr>
          <w:rFonts w:ascii="Times New Roman" w:hAnsi="Times New Roman" w:cs="Arial"/>
          <w:b/>
          <w:bCs/>
          <w:color w:val="333333"/>
          <w:kern w:val="0"/>
          <w:sz w:val="24"/>
          <w:szCs w:val="24"/>
        </w:rPr>
        <w:t>Terms and definitions</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3.1 Subject to </w:t>
      </w:r>
      <w:r>
        <w:rPr>
          <w:rFonts w:ascii="Times New Roman" w:hAnsi="Times New Roman" w:cs="Arial"/>
          <w:i/>
          <w:iCs/>
          <w:color w:val="333333"/>
          <w:kern w:val="0"/>
          <w:sz w:val="24"/>
          <w:szCs w:val="24"/>
        </w:rPr>
        <w:t>GB 15680-2009 Palm Oil</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3.2 Subject to </w:t>
      </w:r>
      <w:r>
        <w:rPr>
          <w:rFonts w:ascii="Times New Roman" w:hAnsi="Times New Roman" w:cs="Arial"/>
          <w:i/>
          <w:iCs/>
          <w:color w:val="333333"/>
          <w:kern w:val="0"/>
          <w:sz w:val="24"/>
          <w:szCs w:val="24"/>
        </w:rPr>
        <w:t>GB 3102.3-93 Quantities and Units of Mechanics</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3.3 Subject to </w:t>
      </w:r>
      <w:r>
        <w:rPr>
          <w:rFonts w:ascii="Times New Roman" w:hAnsi="Times New Roman" w:cs="Arial"/>
          <w:i/>
          <w:iCs/>
          <w:color w:val="333333"/>
          <w:kern w:val="0"/>
          <w:sz w:val="24"/>
          <w:szCs w:val="24"/>
        </w:rPr>
        <w:t>Standard Terminologies of Chemical Industry</w:t>
      </w:r>
      <w:r>
        <w:rPr>
          <w:rFonts w:ascii="Times New Roman" w:hAnsi="Times New Roman" w:cs="Arial"/>
          <w:color w:val="333333"/>
          <w:kern w:val="0"/>
          <w:sz w:val="24"/>
          <w:szCs w:val="24"/>
        </w:rPr>
        <w:t xml:space="preserve"> </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color w:val="333333"/>
          <w:kern w:val="0"/>
          <w:sz w:val="24"/>
          <w:szCs w:val="24"/>
        </w:rPr>
      </w:pPr>
      <w:r>
        <w:rPr>
          <w:rFonts w:ascii="Times New Roman" w:hAnsi="Times New Roman" w:cs="Arial"/>
          <w:b/>
          <w:bCs/>
          <w:color w:val="333333"/>
          <w:kern w:val="0"/>
          <w:sz w:val="24"/>
          <w:szCs w:val="24"/>
        </w:rPr>
        <w:t>Quality requirements</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4.1 Standards of properties</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2708"/>
        <w:gridCol w:w="3686"/>
      </w:tblGrid>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Item</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Standards of Properties</w:t>
            </w:r>
          </w:p>
        </w:tc>
      </w:tr>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Refractive index (40</w:t>
            </w:r>
            <w:r>
              <w:rPr>
                <w:rFonts w:ascii="宋体" w:hAnsi="宋体" w:cs="宋体" w:hint="eastAsia"/>
                <w:color w:val="333333"/>
                <w:sz w:val="24"/>
                <w:szCs w:val="24"/>
              </w:rPr>
              <w:t>℃</w:t>
            </w:r>
            <w:r>
              <w:rPr>
                <w:rFonts w:ascii="Times New Roman" w:hAnsi="Times New Roman" w:cs="Arial"/>
                <w:color w:val="333333"/>
                <w:sz w:val="24"/>
                <w:szCs w:val="24"/>
              </w:rPr>
              <w:t>)</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1.458-1.460</w:t>
            </w:r>
          </w:p>
        </w:tc>
      </w:tr>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Relative density (specific gravity) (</w:t>
            </w:r>
            <w:r>
              <w:rPr>
                <w:rFonts w:ascii="Times New Roman" w:hAnsi="Times New Roman"/>
                <w:color w:val="333333"/>
                <w:sz w:val="24"/>
                <w:szCs w:val="24"/>
              </w:rPr>
              <w:t>40℃/20℃</w:t>
            </w:r>
            <w:r>
              <w:rPr>
                <w:rFonts w:ascii="Times New Roman" w:hAnsi="Times New Roman" w:cs="Arial"/>
                <w:color w:val="333333"/>
                <w:sz w:val="24"/>
                <w:szCs w:val="24"/>
              </w:rPr>
              <w:t xml:space="preserve"> water)</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0.899-0.920</w:t>
            </w:r>
          </w:p>
        </w:tc>
      </w:tr>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lastRenderedPageBreak/>
              <w:t>Iodine value</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56 g/100 g</w:t>
            </w:r>
          </w:p>
        </w:tc>
      </w:tr>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Saponification value (calculated by potassium hydroxide)</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194-202 mg/g</w:t>
            </w:r>
          </w:p>
        </w:tc>
      </w:tr>
      <w:tr w:rsidR="00B02930" w:rsidTr="00B02930">
        <w:tc>
          <w:tcPr>
            <w:tcW w:w="4111" w:type="dxa"/>
            <w:gridSpan w:val="2"/>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Unsaponifiable substance</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13 g/kg (1.3%)</w:t>
            </w:r>
          </w:p>
        </w:tc>
      </w:tr>
      <w:tr w:rsidR="00B02930" w:rsidTr="00B02930">
        <w:tc>
          <w:tcPr>
            <w:tcW w:w="1403" w:type="dxa"/>
            <w:vMerge w:val="restart"/>
            <w:tcBorders>
              <w:top w:val="nil"/>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Fatty acid composition</w:t>
            </w: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Decanoic acid C10:0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Lauric acid C12:0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0.1-0.5</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Myristic acid C14:0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0.5-1.5</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Palmitic acid C16:0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38.0-43.5</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Palmitoleic acid C16:1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ND-0.6</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Heptadecanoic acid C17:0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ND-0.2</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Heptadecenoic acid C17:1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ND-0.1</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Stearic acid C18:0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3.5-5.0</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Oleic acid C18:1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39.8-46.0</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Linoleic acid C18:2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10.0-13.5</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Linolenic acid C18:3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ND-0.6</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Arachidic acid C20:0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ND-0.6</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Eicosenoic acid C20:1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ND-0.4</w:t>
            </w:r>
          </w:p>
        </w:tc>
      </w:tr>
      <w:tr w:rsidR="00B02930" w:rsidTr="00B02930">
        <w:tc>
          <w:tcPr>
            <w:tcW w:w="0" w:type="auto"/>
            <w:vMerge/>
            <w:tcBorders>
              <w:top w:val="nil"/>
              <w:left w:val="single" w:sz="4" w:space="0" w:color="auto"/>
              <w:bottom w:val="single" w:sz="4" w:space="0" w:color="auto"/>
              <w:right w:val="single" w:sz="4" w:space="0" w:color="auto"/>
            </w:tcBorders>
            <w:vAlign w:val="center"/>
            <w:hideMark/>
          </w:tcPr>
          <w:p w:rsidR="00B02930" w:rsidRDefault="00B02930">
            <w:pPr>
              <w:jc w:val="left"/>
              <w:rPr>
                <w:rFonts w:ascii="Times New Roman" w:eastAsia="等线" w:hAnsi="Times New Roman" w:cs="Arial"/>
                <w:color w:val="333333"/>
                <w:sz w:val="24"/>
                <w:szCs w:val="24"/>
              </w:rPr>
            </w:pPr>
          </w:p>
        </w:tc>
        <w:tc>
          <w:tcPr>
            <w:tcW w:w="2708"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Docosanoic acid C22:0 (%)</w:t>
            </w:r>
          </w:p>
        </w:tc>
        <w:tc>
          <w:tcPr>
            <w:tcW w:w="3686"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ND-0.2</w:t>
            </w:r>
          </w:p>
        </w:tc>
      </w:tr>
      <w:tr w:rsidR="00B02930" w:rsidTr="00B02930">
        <w:tc>
          <w:tcPr>
            <w:tcW w:w="7797" w:type="dxa"/>
            <w:gridSpan w:val="3"/>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Note: ND means “not detected”, which is defined as less than or equal to 0.05%.</w:t>
            </w:r>
          </w:p>
        </w:tc>
      </w:tr>
    </w:tbl>
    <w:p w:rsidR="00B02930" w:rsidRDefault="00B02930" w:rsidP="00B02930">
      <w:pPr>
        <w:pStyle w:val="1"/>
        <w:widowControl/>
        <w:shd w:val="clear" w:color="auto" w:fill="FFFFFF"/>
        <w:snapToGrid w:val="0"/>
        <w:spacing w:after="200" w:line="288" w:lineRule="auto"/>
        <w:ind w:left="595"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 xml:space="preserve"> </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Quality standards</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520"/>
        <w:gridCol w:w="2659"/>
      </w:tblGrid>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Item</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b/>
                <w:bCs/>
                <w:color w:val="333333"/>
                <w:sz w:val="24"/>
                <w:szCs w:val="24"/>
              </w:rPr>
            </w:pPr>
            <w:r>
              <w:rPr>
                <w:rFonts w:ascii="Times New Roman" w:hAnsi="Times New Roman" w:cs="Arial"/>
                <w:b/>
                <w:bCs/>
                <w:color w:val="333333"/>
                <w:sz w:val="24"/>
                <w:szCs w:val="24"/>
              </w:rPr>
              <w:t>Quality Standards</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lastRenderedPageBreak/>
              <w:t>Melting Point</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2</w:t>
            </w:r>
            <w:r>
              <w:rPr>
                <w:rFonts w:ascii="Times New Roman" w:hAnsi="Times New Roman"/>
                <w:color w:val="333333"/>
                <w:sz w:val="24"/>
                <w:szCs w:val="24"/>
              </w:rPr>
              <w:t>4℃</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Acid value (calculated by potassium hydroxide)</w:t>
            </w:r>
          </w:p>
        </w:tc>
        <w:tc>
          <w:tcPr>
            <w:tcW w:w="2520"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Load-in: </w:t>
            </w:r>
            <w:r>
              <w:rPr>
                <w:rFonts w:ascii="Times New Roman" w:hAnsi="Times New Roman" w:cs="Arial" w:hint="eastAsia"/>
                <w:color w:val="333333"/>
                <w:sz w:val="24"/>
                <w:szCs w:val="24"/>
              </w:rPr>
              <w:t>≤</w:t>
            </w:r>
            <w:r>
              <w:rPr>
                <w:rFonts w:ascii="Times New Roman" w:hAnsi="Times New Roman" w:cs="Arial"/>
                <w:color w:val="333333"/>
                <w:sz w:val="24"/>
                <w:szCs w:val="24"/>
              </w:rPr>
              <w:t>0.20 mg /g</w:t>
            </w:r>
          </w:p>
        </w:tc>
        <w:tc>
          <w:tcPr>
            <w:tcW w:w="2659"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Load-out: </w:t>
            </w:r>
            <w:r>
              <w:rPr>
                <w:rFonts w:ascii="Times New Roman" w:hAnsi="Times New Roman" w:cs="Arial" w:hint="eastAsia"/>
                <w:color w:val="333333"/>
                <w:sz w:val="24"/>
                <w:szCs w:val="24"/>
              </w:rPr>
              <w:t>≤</w:t>
            </w:r>
            <w:r>
              <w:rPr>
                <w:rFonts w:ascii="Times New Roman" w:hAnsi="Times New Roman" w:cs="Arial"/>
                <w:color w:val="333333"/>
                <w:sz w:val="24"/>
                <w:szCs w:val="24"/>
              </w:rPr>
              <w:t>0.23 mg /g</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Peroxide value [mmol/kg (meq/kg)]</w:t>
            </w:r>
          </w:p>
        </w:tc>
        <w:tc>
          <w:tcPr>
            <w:tcW w:w="2520"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Load-in: </w:t>
            </w:r>
            <w:r>
              <w:rPr>
                <w:rFonts w:ascii="Times New Roman" w:hAnsi="Times New Roman" w:cs="Arial" w:hint="eastAsia"/>
                <w:color w:val="333333"/>
                <w:sz w:val="24"/>
                <w:szCs w:val="24"/>
              </w:rPr>
              <w:t>≤</w:t>
            </w:r>
            <w:r>
              <w:rPr>
                <w:rFonts w:ascii="Times New Roman" w:hAnsi="Times New Roman" w:cs="Arial"/>
                <w:color w:val="333333"/>
                <w:sz w:val="24"/>
                <w:szCs w:val="24"/>
              </w:rPr>
              <w:t>2.5 mmol/kg (5 meq/kg)</w:t>
            </w:r>
          </w:p>
        </w:tc>
        <w:tc>
          <w:tcPr>
            <w:tcW w:w="2659"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Load-out: </w:t>
            </w:r>
            <w:r>
              <w:rPr>
                <w:rFonts w:ascii="Times New Roman" w:hAnsi="Times New Roman" w:cs="Arial" w:hint="eastAsia"/>
                <w:color w:val="333333"/>
                <w:sz w:val="24"/>
                <w:szCs w:val="24"/>
              </w:rPr>
              <w:t>≤</w:t>
            </w:r>
            <w:r>
              <w:rPr>
                <w:rFonts w:ascii="Times New Roman" w:hAnsi="Times New Roman" w:cs="Arial"/>
                <w:color w:val="333333"/>
                <w:sz w:val="24"/>
                <w:szCs w:val="24"/>
              </w:rPr>
              <w:t>5 mmol/kg (10 meq/kg)</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Color (133.4mm Lovibond Cell)</w:t>
            </w:r>
          </w:p>
        </w:tc>
        <w:tc>
          <w:tcPr>
            <w:tcW w:w="2520"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Load-in: </w:t>
            </w:r>
            <w:r>
              <w:rPr>
                <w:rFonts w:ascii="Times New Roman" w:hAnsi="Times New Roman" w:cs="Arial" w:hint="eastAsia"/>
                <w:color w:val="333333"/>
                <w:sz w:val="24"/>
                <w:szCs w:val="24"/>
              </w:rPr>
              <w:t>≤</w:t>
            </w:r>
            <w:r>
              <w:rPr>
                <w:rFonts w:ascii="Times New Roman" w:hAnsi="Times New Roman" w:cs="Arial"/>
                <w:color w:val="333333"/>
                <w:sz w:val="24"/>
                <w:szCs w:val="24"/>
              </w:rPr>
              <w:t xml:space="preserve"> yellow 30; red 3.0</w:t>
            </w:r>
          </w:p>
        </w:tc>
        <w:tc>
          <w:tcPr>
            <w:tcW w:w="2659" w:type="dxa"/>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Load-out: </w:t>
            </w:r>
            <w:r>
              <w:rPr>
                <w:rFonts w:ascii="Times New Roman" w:hAnsi="Times New Roman" w:cs="Arial" w:hint="eastAsia"/>
                <w:color w:val="333333"/>
                <w:sz w:val="24"/>
                <w:szCs w:val="24"/>
              </w:rPr>
              <w:t>≤</w:t>
            </w:r>
            <w:r>
              <w:rPr>
                <w:rFonts w:ascii="Times New Roman" w:hAnsi="Times New Roman" w:cs="Arial"/>
                <w:color w:val="333333"/>
                <w:sz w:val="24"/>
                <w:szCs w:val="24"/>
              </w:rPr>
              <w:t xml:space="preserve"> yellow 35; red 3.5</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Odor and flavor</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Inherent odor and flavor of RBD palm olein, with no peculiar odor</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 xml:space="preserve">Transparency </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Times New Roman"/>
                <w:color w:val="333333"/>
                <w:sz w:val="24"/>
                <w:szCs w:val="24"/>
              </w:rPr>
            </w:pPr>
            <w:r>
              <w:rPr>
                <w:rFonts w:ascii="Times New Roman" w:hAnsi="Times New Roman"/>
                <w:color w:val="333333"/>
                <w:sz w:val="24"/>
                <w:szCs w:val="24"/>
              </w:rPr>
              <w:t>40℃, clear and transparent</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Moisture and volatiles</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0.05%</w:t>
            </w:r>
          </w:p>
        </w:tc>
      </w:tr>
      <w:tr w:rsidR="00B02930" w:rsidTr="00B02930">
        <w:tc>
          <w:tcPr>
            <w:tcW w:w="2618" w:type="dxa"/>
            <w:tcBorders>
              <w:top w:val="single" w:sz="4" w:space="0" w:color="auto"/>
              <w:left w:val="single" w:sz="4" w:space="0" w:color="auto"/>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color w:val="333333"/>
                <w:sz w:val="24"/>
                <w:szCs w:val="24"/>
              </w:rPr>
              <w:t>Insoluble Impurities</w:t>
            </w:r>
          </w:p>
        </w:tc>
        <w:tc>
          <w:tcPr>
            <w:tcW w:w="5179" w:type="dxa"/>
            <w:gridSpan w:val="2"/>
            <w:tcBorders>
              <w:top w:val="single" w:sz="4" w:space="0" w:color="auto"/>
              <w:left w:val="nil"/>
              <w:bottom w:val="single" w:sz="4" w:space="0" w:color="auto"/>
              <w:right w:val="single" w:sz="4" w:space="0" w:color="auto"/>
            </w:tcBorders>
            <w:hideMark/>
          </w:tcPr>
          <w:p w:rsidR="00B02930" w:rsidRDefault="00B02930">
            <w:pPr>
              <w:snapToGrid w:val="0"/>
              <w:spacing w:after="200" w:line="288" w:lineRule="auto"/>
              <w:rPr>
                <w:rFonts w:ascii="Times New Roman" w:hAnsi="Times New Roman" w:cs="Arial"/>
                <w:color w:val="333333"/>
                <w:sz w:val="24"/>
                <w:szCs w:val="24"/>
              </w:rPr>
            </w:pPr>
            <w:r>
              <w:rPr>
                <w:rFonts w:ascii="Times New Roman" w:hAnsi="Times New Roman" w:cs="Arial" w:hint="eastAsia"/>
                <w:color w:val="333333"/>
                <w:sz w:val="24"/>
                <w:szCs w:val="24"/>
              </w:rPr>
              <w:t>≤</w:t>
            </w:r>
            <w:r>
              <w:rPr>
                <w:rFonts w:ascii="Times New Roman" w:hAnsi="Times New Roman" w:cs="Arial"/>
                <w:color w:val="333333"/>
                <w:sz w:val="24"/>
                <w:szCs w:val="24"/>
              </w:rPr>
              <w:t>0.05%</w:t>
            </w:r>
          </w:p>
        </w:tc>
      </w:tr>
    </w:tbl>
    <w:p w:rsidR="00B02930" w:rsidRDefault="00B02930" w:rsidP="00B02930">
      <w:pPr>
        <w:pStyle w:val="1"/>
        <w:widowControl/>
        <w:shd w:val="clear" w:color="auto" w:fill="FFFFFF"/>
        <w:snapToGrid w:val="0"/>
        <w:spacing w:after="200" w:line="288" w:lineRule="auto"/>
        <w:ind w:left="595"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 xml:space="preserve"> </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Quality standards and allowances (premiums/discounts) for substitute products under RBD palm olein futures contract</w:t>
      </w:r>
    </w:p>
    <w:p w:rsidR="00B02930" w:rsidRDefault="00B02930" w:rsidP="00B02930">
      <w:pPr>
        <w:pStyle w:val="1"/>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In inspection, palm olein whose acid value is more than 0.20 (mg/g) but less than or equal to 0.23 (mg/g) when loaded in warehouse, or that whose acid value is more than 0.23 (mg/g) but less than or equal to 0.25 (mg/g)  when loaded out of warehouse, with other qualities meet with the delivery quality requirements for standard products of RBD palm olein, can be used as substitute products for delivery, with the discount of CNY15 per ton.</w:t>
      </w:r>
    </w:p>
    <w:p w:rsidR="00B02930" w:rsidRDefault="00B02930" w:rsidP="00B02930">
      <w:pPr>
        <w:pStyle w:val="1"/>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If the acid value is more than 0.20 (mg/g) when loaded in or out of warehouse, the palm olein will be marked as crude palm olein.</w:t>
      </w:r>
    </w:p>
    <w:p w:rsidR="00B02930" w:rsidRDefault="00B02930" w:rsidP="00B02930">
      <w:pPr>
        <w:pStyle w:val="1"/>
        <w:widowControl/>
        <w:shd w:val="clear" w:color="auto" w:fill="FFFFFF"/>
        <w:snapToGrid w:val="0"/>
        <w:spacing w:after="200" w:line="288" w:lineRule="auto"/>
        <w:ind w:left="595"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Hygienic standards: subject to the rules of </w:t>
      </w:r>
      <w:r>
        <w:rPr>
          <w:rFonts w:ascii="Times New Roman" w:hAnsi="Times New Roman" w:cs="Arial"/>
          <w:i/>
          <w:iCs/>
          <w:color w:val="333333"/>
          <w:kern w:val="0"/>
          <w:sz w:val="24"/>
          <w:szCs w:val="24"/>
        </w:rPr>
        <w:t>GB15680-2009</w:t>
      </w:r>
    </w:p>
    <w:p w:rsidR="00B02930" w:rsidRDefault="00B02930" w:rsidP="00B02930">
      <w:pPr>
        <w:pStyle w:val="1"/>
        <w:widowControl/>
        <w:shd w:val="clear" w:color="auto" w:fill="FFFFFF"/>
        <w:snapToGrid w:val="0"/>
        <w:spacing w:after="200" w:line="288" w:lineRule="auto"/>
        <w:ind w:left="595" w:firstLineChars="0"/>
        <w:rPr>
          <w:rFonts w:ascii="Times New Roman" w:hAnsi="Times New Roman" w:cs="Arial"/>
          <w:color w:val="333333"/>
          <w:kern w:val="0"/>
          <w:sz w:val="24"/>
          <w:szCs w:val="24"/>
        </w:rPr>
      </w:pPr>
      <w:r>
        <w:rPr>
          <w:rFonts w:ascii="Times New Roman" w:hAnsi="Times New Roman" w:cs="Arial"/>
          <w:color w:val="333333"/>
          <w:kern w:val="0"/>
          <w:sz w:val="24"/>
          <w:szCs w:val="24"/>
        </w:rPr>
        <w:t xml:space="preserve">Authenticity requirements: subject to the rules of </w:t>
      </w:r>
      <w:r>
        <w:rPr>
          <w:rFonts w:ascii="Times New Roman" w:hAnsi="Times New Roman" w:cs="Arial"/>
          <w:i/>
          <w:iCs/>
          <w:color w:val="333333"/>
          <w:kern w:val="0"/>
          <w:sz w:val="24"/>
          <w:szCs w:val="24"/>
        </w:rPr>
        <w:t>GB 15680-2009</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b/>
          <w:bCs/>
          <w:color w:val="333333"/>
          <w:kern w:val="0"/>
          <w:sz w:val="24"/>
          <w:szCs w:val="24"/>
        </w:rPr>
      </w:pPr>
      <w:r>
        <w:rPr>
          <w:rFonts w:ascii="Times New Roman" w:hAnsi="Times New Roman" w:cs="Arial"/>
          <w:b/>
          <w:bCs/>
          <w:color w:val="333333"/>
          <w:kern w:val="0"/>
          <w:sz w:val="24"/>
          <w:szCs w:val="24"/>
        </w:rPr>
        <w:t xml:space="preserve">Inspection methods and inspection rules shall be subject to rules of </w:t>
      </w:r>
      <w:r>
        <w:rPr>
          <w:rFonts w:ascii="Times New Roman" w:hAnsi="Times New Roman" w:cs="Arial"/>
          <w:b/>
          <w:bCs/>
          <w:i/>
          <w:iCs/>
          <w:color w:val="333333"/>
          <w:kern w:val="0"/>
          <w:sz w:val="24"/>
          <w:szCs w:val="24"/>
        </w:rPr>
        <w:t>GB/T 15680-2009</w:t>
      </w:r>
      <w:r>
        <w:rPr>
          <w:rFonts w:ascii="Times New Roman" w:hAnsi="Times New Roman" w:cs="Arial"/>
          <w:b/>
          <w:bCs/>
          <w:color w:val="333333"/>
          <w:kern w:val="0"/>
          <w:sz w:val="24"/>
          <w:szCs w:val="24"/>
        </w:rPr>
        <w:t>.</w:t>
      </w:r>
    </w:p>
    <w:p w:rsidR="00B02930" w:rsidRDefault="00B02930" w:rsidP="00B02930">
      <w:pPr>
        <w:pStyle w:val="1"/>
        <w:widowControl/>
        <w:shd w:val="clear" w:color="auto" w:fill="FFFFFF"/>
        <w:snapToGrid w:val="0"/>
        <w:spacing w:after="200" w:line="288" w:lineRule="auto"/>
        <w:ind w:left="567" w:firstLineChars="0" w:hanging="567"/>
        <w:rPr>
          <w:rFonts w:ascii="Times New Roman" w:hAnsi="Times New Roman" w:cs="Arial"/>
          <w:color w:val="333333"/>
          <w:kern w:val="0"/>
          <w:sz w:val="24"/>
          <w:szCs w:val="24"/>
        </w:rPr>
      </w:pPr>
      <w:r>
        <w:rPr>
          <w:rFonts w:ascii="Times New Roman" w:hAnsi="Times New Roman" w:cs="Arial"/>
          <w:b/>
          <w:bCs/>
          <w:color w:val="333333"/>
          <w:kern w:val="0"/>
          <w:sz w:val="24"/>
          <w:szCs w:val="24"/>
        </w:rPr>
        <w:t>Storage and transportation</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lastRenderedPageBreak/>
        <w:t>Storage</w:t>
      </w:r>
    </w:p>
    <w:p w:rsidR="00B02930" w:rsidRDefault="00B02930" w:rsidP="00B02930">
      <w:pPr>
        <w:pStyle w:val="1"/>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RBD palm olein shall be kept cold, dry, clean and dark, and shall not be mixed with harmful and toxic substances.</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color w:val="333333"/>
          <w:kern w:val="0"/>
          <w:sz w:val="24"/>
          <w:szCs w:val="24"/>
        </w:rPr>
        <w:t>Transportation</w:t>
      </w:r>
    </w:p>
    <w:p w:rsidR="00B02930" w:rsidRDefault="00B02930" w:rsidP="00B02930">
      <w:pPr>
        <w:pStyle w:val="1"/>
        <w:widowControl/>
        <w:shd w:val="clear" w:color="auto" w:fill="FFFFFF"/>
        <w:snapToGrid w:val="0"/>
        <w:spacing w:after="200" w:line="288" w:lineRule="auto"/>
        <w:ind w:left="567" w:firstLineChars="0" w:firstLine="0"/>
        <w:rPr>
          <w:rFonts w:ascii="Times New Roman" w:hAnsi="Times New Roman" w:cs="Arial"/>
          <w:color w:val="333333"/>
          <w:kern w:val="0"/>
          <w:sz w:val="24"/>
          <w:szCs w:val="24"/>
        </w:rPr>
      </w:pPr>
      <w:r>
        <w:rPr>
          <w:rFonts w:ascii="Times New Roman" w:hAnsi="Times New Roman" w:cs="Arial"/>
          <w:color w:val="333333"/>
          <w:kern w:val="0"/>
          <w:sz w:val="24"/>
          <w:szCs w:val="24"/>
        </w:rPr>
        <w:t>The transportation service provider shall pay attention to safety, as well as prevention of exposure to sunlight, rain, seepage, pollution and peeling labels. The transportation service provider shall maintain specialized vehicles for bulk transportation of RBD palm olein and keep the vehicles clean and sanitary.</w:t>
      </w:r>
    </w:p>
    <w:p w:rsidR="00B02930" w:rsidRDefault="00B02930" w:rsidP="00B02930">
      <w:pPr>
        <w:pStyle w:val="1"/>
        <w:widowControl/>
        <w:shd w:val="clear" w:color="auto" w:fill="FFFFFF"/>
        <w:snapToGrid w:val="0"/>
        <w:spacing w:after="200" w:line="288" w:lineRule="auto"/>
        <w:ind w:firstLineChars="0"/>
        <w:rPr>
          <w:rFonts w:ascii="Times New Roman" w:hAnsi="Times New Roman" w:cs="Arial"/>
          <w:color w:val="333333"/>
          <w:kern w:val="0"/>
          <w:sz w:val="24"/>
          <w:szCs w:val="24"/>
        </w:rPr>
      </w:pPr>
      <w:r>
        <w:rPr>
          <w:rFonts w:ascii="Times New Roman" w:hAnsi="Times New Roman" w:cs="Arial"/>
          <w:b/>
          <w:bCs/>
          <w:color w:val="333333"/>
          <w:kern w:val="0"/>
          <w:sz w:val="24"/>
          <w:szCs w:val="24"/>
        </w:rPr>
        <w:t>Additional note</w:t>
      </w:r>
    </w:p>
    <w:p w:rsidR="00B02930" w:rsidRDefault="00B02930" w:rsidP="00B02930">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The Standard shall be </w:t>
      </w:r>
      <w:r>
        <w:rPr>
          <w:rFonts w:ascii="Times New Roman" w:hAnsi="Times New Roman" w:cs="Arial"/>
          <w:i/>
          <w:iCs/>
          <w:color w:val="333333"/>
          <w:sz w:val="24"/>
          <w:szCs w:val="24"/>
        </w:rPr>
        <w:t>subject</w:t>
      </w:r>
      <w:r>
        <w:rPr>
          <w:rFonts w:ascii="Times New Roman" w:hAnsi="Times New Roman" w:cs="Arial"/>
          <w:color w:val="333333"/>
          <w:sz w:val="24"/>
          <w:szCs w:val="24"/>
        </w:rPr>
        <w:t xml:space="preserve"> to the interpretation of DCE.</w:t>
      </w:r>
    </w:p>
    <w:p w:rsidR="00B02930" w:rsidRDefault="00B02930" w:rsidP="00B02930">
      <w:pPr>
        <w:shd w:val="clear" w:color="auto" w:fill="FFFFFF"/>
        <w:snapToGrid w:val="0"/>
        <w:spacing w:after="200" w:line="288" w:lineRule="auto"/>
        <w:ind w:left="420"/>
        <w:rPr>
          <w:rFonts w:ascii="Times New Roman" w:hAnsi="Times New Roman" w:cs="Arial"/>
          <w:color w:val="333333"/>
          <w:sz w:val="24"/>
          <w:szCs w:val="24"/>
        </w:rPr>
      </w:pPr>
      <w:r>
        <w:rPr>
          <w:rFonts w:ascii="Times New Roman" w:hAnsi="Times New Roman" w:cs="Arial"/>
          <w:color w:val="333333"/>
          <w:sz w:val="24"/>
          <w:szCs w:val="24"/>
        </w:rPr>
        <w:t xml:space="preserve"> </w:t>
      </w:r>
    </w:p>
    <w:p w:rsidR="00FC71F1" w:rsidRPr="00125CBC" w:rsidRDefault="00B02930" w:rsidP="00FC71F1">
      <w:pPr>
        <w:jc w:val="left"/>
        <w:rPr>
          <w:rFonts w:ascii="Times New Roman" w:hAnsi="Times New Roman" w:cs="Times New Roman"/>
          <w:color w:val="333333"/>
          <w:sz w:val="24"/>
          <w:szCs w:val="24"/>
        </w:rPr>
      </w:pPr>
      <w:r>
        <w:rPr>
          <w:rFonts w:ascii="Times New Roman" w:hAnsi="Times New Roman" w:cs="Arial"/>
          <w:b/>
          <w:bCs/>
          <w:color w:val="333333"/>
          <w:sz w:val="24"/>
          <w:szCs w:val="24"/>
        </w:rPr>
        <w:t>Annex 2:  List of Delivery Warehouses Designated for RBD palm olein of Dalian Commodity Exchange.</w:t>
      </w:r>
      <w:r>
        <w:rPr>
          <w:rFonts w:ascii="Times New Roman" w:hAnsi="Times New Roman" w:cs="Arial"/>
          <w:color w:val="333333"/>
          <w:sz w:val="24"/>
          <w:szCs w:val="24"/>
        </w:rPr>
        <w:t xml:space="preserve"> </w:t>
      </w:r>
      <w:r w:rsidR="00FC71F1" w:rsidRPr="00125CBC">
        <w:rPr>
          <w:rFonts w:ascii="Times New Roman" w:hAnsi="Times New Roman" w:cs="Times New Roman"/>
          <w:color w:val="333333"/>
          <w:sz w:val="24"/>
          <w:szCs w:val="24"/>
        </w:rPr>
        <w:t>（</w:t>
      </w:r>
      <w:r w:rsidR="00FC71F1" w:rsidRPr="00125CBC">
        <w:rPr>
          <w:rFonts w:ascii="Times New Roman" w:hAnsi="Times New Roman" w:cs="Times New Roman"/>
          <w:sz w:val="24"/>
          <w:szCs w:val="24"/>
        </w:rPr>
        <w:t>http://www.dce.com.cn/dalianshangpin/ywfw/ywzy/nypjgywzy/index.html</w:t>
      </w:r>
      <w:r w:rsidR="00FC71F1" w:rsidRPr="00125CBC">
        <w:rPr>
          <w:rFonts w:ascii="Times New Roman" w:hAnsi="Times New Roman" w:cs="Times New Roman"/>
          <w:color w:val="333333"/>
          <w:sz w:val="24"/>
          <w:szCs w:val="24"/>
        </w:rPr>
        <w:t>）</w:t>
      </w:r>
    </w:p>
    <w:p w:rsidR="00B02930" w:rsidRDefault="00B02930" w:rsidP="00FC71F1">
      <w:pPr>
        <w:jc w:val="left"/>
        <w:rPr>
          <w:rFonts w:ascii="等线" w:hAnsi="等线" w:cs="Times New Roman"/>
          <w:kern w:val="2"/>
        </w:rPr>
      </w:pPr>
      <w:r>
        <w:rPr>
          <w:rFonts w:hint="eastAsia"/>
        </w:rPr>
        <w:t xml:space="preserve"> </w:t>
      </w:r>
    </w:p>
    <w:p w:rsidR="00B02930" w:rsidRDefault="00B02930" w:rsidP="00B02930">
      <w:r>
        <w:rPr>
          <w:rFonts w:hint="eastAsia"/>
        </w:rPr>
        <w:t xml:space="preserve"> </w:t>
      </w:r>
    </w:p>
    <w:p w:rsidR="002757CE" w:rsidRPr="00B02930" w:rsidRDefault="002757CE"/>
    <w:sectPr w:rsidR="002757CE" w:rsidRPr="00B02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30" w:rsidRDefault="00B02930" w:rsidP="00B02930">
      <w:r>
        <w:separator/>
      </w:r>
    </w:p>
  </w:endnote>
  <w:endnote w:type="continuationSeparator" w:id="0">
    <w:p w:rsidR="00B02930" w:rsidRDefault="00B02930" w:rsidP="00B0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30" w:rsidRDefault="00B02930" w:rsidP="00B02930">
      <w:r>
        <w:separator/>
      </w:r>
    </w:p>
  </w:footnote>
  <w:footnote w:type="continuationSeparator" w:id="0">
    <w:p w:rsidR="00B02930" w:rsidRDefault="00B02930" w:rsidP="00B02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947"/>
    <w:multiLevelType w:val="multilevel"/>
    <w:tmpl w:val="0B864947"/>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 w15:restartNumberingAfterBreak="0">
    <w:nsid w:val="4D8D69C2"/>
    <w:multiLevelType w:val="multilevel"/>
    <w:tmpl w:val="4D8D69C2"/>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 w15:restartNumberingAfterBreak="0">
    <w:nsid w:val="4E136EB9"/>
    <w:multiLevelType w:val="multilevel"/>
    <w:tmpl w:val="4E136EB9"/>
    <w:lvl w:ilvl="0">
      <w:start w:val="1"/>
      <w:numFmt w:val="decimal"/>
      <w:lvlText w:val="Article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F73C41"/>
    <w:multiLevelType w:val="multilevel"/>
    <w:tmpl w:val="7DF73C4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FD"/>
    <w:rsid w:val="001203E3"/>
    <w:rsid w:val="002757CE"/>
    <w:rsid w:val="00A768FD"/>
    <w:rsid w:val="00B02930"/>
    <w:rsid w:val="00FC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98537"/>
  <w15:chartTrackingRefBased/>
  <w15:docId w15:val="{BF64565D-DE88-428A-B729-D3101934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8FD"/>
    <w:pPr>
      <w:jc w:val="both"/>
    </w:pPr>
    <w:rPr>
      <w:rFonts w:ascii="Calibri" w:eastAsia="宋体" w:hAnsi="Calibri" w:cs="Calibr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68FD"/>
    <w:pPr>
      <w:widowControl w:val="0"/>
      <w:ind w:firstLineChars="200" w:firstLine="420"/>
    </w:pPr>
    <w:rPr>
      <w:kern w:val="2"/>
    </w:rPr>
  </w:style>
  <w:style w:type="character" w:customStyle="1" w:styleId="a4">
    <w:name w:val="列出段落 字符"/>
    <w:link w:val="a3"/>
    <w:uiPriority w:val="34"/>
    <w:qFormat/>
    <w:rsid w:val="00A768FD"/>
    <w:rPr>
      <w:rFonts w:ascii="Calibri" w:eastAsia="宋体" w:hAnsi="Calibri" w:cs="Calibri"/>
      <w:szCs w:val="21"/>
    </w:rPr>
  </w:style>
  <w:style w:type="paragraph" w:styleId="a5">
    <w:name w:val="header"/>
    <w:basedOn w:val="a"/>
    <w:link w:val="a6"/>
    <w:uiPriority w:val="99"/>
    <w:unhideWhenUsed/>
    <w:rsid w:val="00B029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2930"/>
    <w:rPr>
      <w:rFonts w:ascii="Calibri" w:eastAsia="宋体" w:hAnsi="Calibri" w:cs="Calibri"/>
      <w:kern w:val="0"/>
      <w:sz w:val="18"/>
      <w:szCs w:val="18"/>
    </w:rPr>
  </w:style>
  <w:style w:type="paragraph" w:styleId="a7">
    <w:name w:val="footer"/>
    <w:basedOn w:val="a"/>
    <w:link w:val="a8"/>
    <w:uiPriority w:val="99"/>
    <w:unhideWhenUsed/>
    <w:rsid w:val="00B02930"/>
    <w:pPr>
      <w:tabs>
        <w:tab w:val="center" w:pos="4153"/>
        <w:tab w:val="right" w:pos="8306"/>
      </w:tabs>
      <w:snapToGrid w:val="0"/>
      <w:jc w:val="left"/>
    </w:pPr>
    <w:rPr>
      <w:sz w:val="18"/>
      <w:szCs w:val="18"/>
    </w:rPr>
  </w:style>
  <w:style w:type="character" w:customStyle="1" w:styleId="a8">
    <w:name w:val="页脚 字符"/>
    <w:basedOn w:val="a0"/>
    <w:link w:val="a7"/>
    <w:uiPriority w:val="99"/>
    <w:rsid w:val="00B02930"/>
    <w:rPr>
      <w:rFonts w:ascii="Calibri" w:eastAsia="宋体" w:hAnsi="Calibri" w:cs="Calibri"/>
      <w:kern w:val="0"/>
      <w:sz w:val="18"/>
      <w:szCs w:val="18"/>
    </w:rPr>
  </w:style>
  <w:style w:type="paragraph" w:customStyle="1" w:styleId="1">
    <w:name w:val="列出段落1"/>
    <w:basedOn w:val="a"/>
    <w:rsid w:val="00B02930"/>
    <w:pPr>
      <w:widowControl w:val="0"/>
      <w:spacing w:before="100" w:beforeAutospacing="1" w:after="160" w:line="256" w:lineRule="auto"/>
      <w:ind w:firstLineChars="200" w:firstLine="420"/>
    </w:pPr>
    <w:rPr>
      <w:kern w:val="2"/>
    </w:rPr>
  </w:style>
  <w:style w:type="character" w:customStyle="1" w:styleId="15">
    <w:name w:val="15"/>
    <w:basedOn w:val="a0"/>
    <w:rsid w:val="00B02930"/>
    <w:rPr>
      <w:rFonts w:ascii="等线" w:eastAsia="等线" w:hAnsi="等线" w:hint="eastAsia"/>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3036</Words>
  <Characters>17306</Characters>
  <Application>Microsoft Office Word</Application>
  <DocSecurity>0</DocSecurity>
  <Lines>144</Lines>
  <Paragraphs>40</Paragraphs>
  <ScaleCrop>false</ScaleCrop>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3</cp:revision>
  <dcterms:created xsi:type="dcterms:W3CDTF">2022-04-27T06:27:00Z</dcterms:created>
  <dcterms:modified xsi:type="dcterms:W3CDTF">2022-04-27T07:08:00Z</dcterms:modified>
</cp:coreProperties>
</file>